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742F2">
        <w:tc>
          <w:tcPr>
            <w:tcW w:w="9781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6"/>
              <w:gridCol w:w="3405"/>
            </w:tblGrid>
            <w:tr w:rsidR="009742F2">
              <w:tc>
                <w:tcPr>
                  <w:tcW w:w="978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7E3F56">
                  <w:pPr>
                    <w:pStyle w:val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ПУБЛИЧНАЯ ОФЕРТА</w:t>
                  </w:r>
                  <w:r>
                    <w:rPr>
                      <w:sz w:val="24"/>
                    </w:rPr>
                    <w:br/>
                    <w:t xml:space="preserve">НА ИНФОРМАЦИОННО-КОНСУЛЬТАЦИОННЫЕ УСЛУГИ </w:t>
                  </w:r>
                </w:p>
              </w:tc>
            </w:tr>
            <w:tr w:rsidR="009742F2">
              <w:tc>
                <w:tcPr>
                  <w:tcW w:w="63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7E3F56">
                  <w:pPr>
                    <w:ind w:left="567" w:firstLine="140"/>
                  </w:pPr>
                  <w:r>
                    <w:t>г. Москва</w:t>
                  </w:r>
                </w:p>
              </w:tc>
              <w:tc>
                <w:tcPr>
                  <w:tcW w:w="34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E35F83">
                  <w:pPr>
                    <w:jc w:val="right"/>
                  </w:pPr>
                  <w:r>
                    <w:rPr>
                      <w:u w:val="single"/>
                    </w:rPr>
                    <w:t>14.10</w:t>
                  </w:r>
                  <w:r w:rsidR="007E3F56">
                    <w:rPr>
                      <w:u w:val="single"/>
                    </w:rPr>
                    <w:t>.2024.</w:t>
                  </w:r>
                </w:p>
                <w:p w:rsidR="009742F2" w:rsidRDefault="009742F2"/>
              </w:tc>
            </w:tr>
          </w:tbl>
          <w:p w:rsidR="009742F2" w:rsidRDefault="009742F2">
            <w:pPr>
              <w:pStyle w:val="3"/>
              <w:jc w:val="center"/>
              <w:rPr>
                <w:sz w:val="24"/>
              </w:rPr>
            </w:pPr>
          </w:p>
        </w:tc>
      </w:tr>
      <w:tr w:rsidR="009742F2" w:rsidRPr="0088750B">
        <w:trPr>
          <w:trHeight w:val="7796"/>
        </w:trPr>
        <w:tc>
          <w:tcPr>
            <w:tcW w:w="9781" w:type="dxa"/>
            <w:tcMar>
              <w:left w:w="0" w:type="dxa"/>
              <w:right w:w="0" w:type="dxa"/>
            </w:tcMar>
            <w:vAlign w:val="center"/>
          </w:tcPr>
          <w:p w:rsidR="009742F2" w:rsidRDefault="007E3F56">
            <w:pPr>
              <w:pStyle w:val="af7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rPr>
                <w:b/>
              </w:rPr>
              <w:t>Опти</w:t>
            </w:r>
            <w:proofErr w:type="spellEnd"/>
            <w:r>
              <w:rPr>
                <w:b/>
              </w:rPr>
              <w:t>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9742F2" w:rsidRDefault="009742F2">
            <w:pPr>
              <w:pStyle w:val="af7"/>
              <w:spacing w:before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8" w:history="1">
              <w:r>
                <w:rPr>
                  <w:rStyle w:val="ae"/>
                </w:rPr>
                <w:t>http://www.optiklass.ru</w:t>
              </w:r>
            </w:hyperlink>
            <w:r>
              <w:t>;</w:t>
            </w:r>
          </w:p>
          <w:p w:rsidR="009742F2" w:rsidRDefault="007E3F56" w:rsidP="00E35F83">
            <w:pPr>
              <w:pStyle w:val="a9"/>
              <w:spacing w:before="120" w:after="120"/>
              <w:ind w:left="708"/>
              <w:rPr>
                <w:szCs w:val="24"/>
              </w:rPr>
            </w:pPr>
            <w:r>
              <w:rPr>
                <w:b/>
              </w:rPr>
              <w:t>«Информационная страница»</w:t>
            </w:r>
            <w:r w:rsidR="00E35F83">
              <w:t xml:space="preserve"> – </w:t>
            </w:r>
            <w:r>
              <w:t>«Мероп</w:t>
            </w:r>
            <w:r w:rsidR="00E35F83">
              <w:t>риятия для врачей/</w:t>
            </w:r>
            <w:proofErr w:type="spellStart"/>
            <w:r w:rsidR="00E35F83">
              <w:t>оптометристов</w:t>
            </w:r>
            <w:proofErr w:type="spellEnd"/>
            <w:r>
              <w:t xml:space="preserve">: </w:t>
            </w:r>
            <w:r w:rsidR="00E35F83" w:rsidRPr="00E35F83">
              <w:rPr>
                <w:color w:val="555555"/>
                <w:szCs w:val="24"/>
                <w:shd w:val="clear" w:color="auto" w:fill="FFFFFF"/>
              </w:rPr>
              <w:t>"</w:t>
            </w:r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 xml:space="preserve">Подбор призм. Методы ассоциированной и </w:t>
            </w:r>
            <w:proofErr w:type="spellStart"/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>диссоциированной</w:t>
            </w:r>
            <w:proofErr w:type="spellEnd"/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 xml:space="preserve"> </w:t>
            </w:r>
            <w:proofErr w:type="spellStart"/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>фории</w:t>
            </w:r>
            <w:proofErr w:type="spellEnd"/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>"</w:t>
            </w:r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https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://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optiklass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.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programmy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-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obucheniya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dlya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-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vrachej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-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optometristov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view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productdetails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virtuemart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_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product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_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id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/209/</w:t>
              </w:r>
              <w:proofErr w:type="spellStart"/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virtuemart</w:t>
              </w:r>
              <w:proofErr w:type="spellEnd"/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_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category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_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  <w:lang w:val="en-US"/>
                </w:rPr>
                <w:t>id</w:t>
              </w:r>
              <w:r w:rsidR="00E35F83" w:rsidRPr="008547F3">
                <w:rPr>
                  <w:rStyle w:val="ae"/>
                  <w:szCs w:val="24"/>
                  <w:shd w:val="clear" w:color="auto" w:fill="FFFFFF"/>
                </w:rPr>
                <w:t>/2</w:t>
              </w:r>
            </w:hyperlink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:rsidR="009742F2" w:rsidRDefault="009742F2">
            <w:pPr>
              <w:pStyle w:val="a9"/>
              <w:spacing w:before="120" w:after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:rsidR="009742F2" w:rsidRDefault="007E3F56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:rsidR="009742F2" w:rsidRDefault="007E3F56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:rsidR="009742F2" w:rsidRDefault="007E3F56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:rsidR="009742F2" w:rsidRDefault="009742F2">
            <w:pPr>
              <w:pStyle w:val="a9"/>
              <w:spacing w:before="120" w:after="120"/>
              <w:rPr>
                <w:b/>
              </w:rPr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t>ПРЕДМЕТ ДОГОВОРА:</w:t>
            </w:r>
          </w:p>
          <w:p w:rsidR="009742F2" w:rsidRDefault="007E3F56">
            <w:pPr>
              <w:pStyle w:val="a9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:rsidR="009742F2" w:rsidRDefault="007E3F56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>Срок предоставления доступ</w:t>
            </w:r>
            <w:r w:rsidR="00826A6E">
              <w:t xml:space="preserve">а к информационным материалам: </w:t>
            </w:r>
            <w:r w:rsidR="00E35F83">
              <w:t>две недели</w:t>
            </w:r>
            <w:bookmarkStart w:id="0" w:name="_GoBack"/>
            <w:bookmarkEnd w:id="0"/>
            <w:r>
              <w:t xml:space="preserve"> с даты подключения услуг. </w:t>
            </w:r>
          </w:p>
          <w:p w:rsidR="009742F2" w:rsidRDefault="007E3F56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9742F2" w:rsidRDefault="007E3F56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операционная система – ОС семейства </w:t>
            </w:r>
            <w:proofErr w:type="spellStart"/>
            <w:r>
              <w:t>Windows</w:t>
            </w:r>
            <w:proofErr w:type="spellEnd"/>
            <w:r>
              <w:t xml:space="preserve"> 7, 8, 8.1. 9, 10 или </w:t>
            </w:r>
            <w:proofErr w:type="spellStart"/>
            <w:r>
              <w:t>MacOS</w:t>
            </w:r>
            <w:proofErr w:type="spellEnd"/>
            <w:r>
              <w:t>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офисные приложения – MS </w:t>
            </w:r>
            <w:proofErr w:type="spellStart"/>
            <w:r>
              <w:t>Office</w:t>
            </w:r>
            <w:proofErr w:type="spellEnd"/>
            <w:r>
              <w:t>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скорость доступа к сети «Интернет» –  не менее 750 </w:t>
            </w:r>
            <w:proofErr w:type="spellStart"/>
            <w:r>
              <w:t>кБит</w:t>
            </w:r>
            <w:proofErr w:type="spellEnd"/>
            <w:r>
              <w:t>/сек;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рекомендуется использовать современный веб-браузер актуальной версии (</w:t>
            </w:r>
            <w:proofErr w:type="spellStart"/>
            <w:r>
              <w:t>Firefox</w:t>
            </w:r>
            <w:proofErr w:type="spellEnd"/>
            <w:r>
              <w:t xml:space="preserve"> 22,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 27, </w:t>
            </w:r>
            <w:proofErr w:type="spellStart"/>
            <w:r>
              <w:t>Opera</w:t>
            </w:r>
            <w:proofErr w:type="spellEnd"/>
            <w:r>
              <w:t xml:space="preserve"> 15, </w:t>
            </w:r>
            <w:proofErr w:type="spellStart"/>
            <w:r>
              <w:t>Safari</w:t>
            </w:r>
            <w:proofErr w:type="spellEnd"/>
            <w:r>
              <w:t xml:space="preserve"> 5, 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Explorer</w:t>
            </w:r>
            <w:proofErr w:type="spellEnd"/>
            <w:r>
              <w:t xml:space="preserve"> 8 или более новый). Для некоторых браузеров (</w:t>
            </w:r>
            <w:proofErr w:type="spellStart"/>
            <w:r>
              <w:t>Opera</w:t>
            </w:r>
            <w:proofErr w:type="spellEnd"/>
            <w:r>
              <w:t xml:space="preserve">) необходимо отключить встроенный </w:t>
            </w:r>
            <w:proofErr w:type="spellStart"/>
            <w:r>
              <w:t>блокировщик</w:t>
            </w:r>
            <w:proofErr w:type="spellEnd"/>
            <w:r>
              <w:t xml:space="preserve"> рекламы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рекомендуемая конфигурация компьютера: Разрешение экрана 1280х1024; </w:t>
            </w:r>
            <w:proofErr w:type="spellStart"/>
            <w:r>
              <w:t>Pentium</w:t>
            </w:r>
            <w:proofErr w:type="spellEnd"/>
            <w:r>
              <w:t xml:space="preserve"> 4 или более новый процессор с поддержкой SSE2; 215 Мб оперативной памяти, 200 Мб свободного дискового пространства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для мобильных устройств обновленное приложение </w:t>
            </w:r>
            <w:proofErr w:type="spellStart"/>
            <w:r>
              <w:t>iSpring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>.</w:t>
            </w:r>
          </w:p>
          <w:p w:rsidR="009742F2" w:rsidRDefault="009742F2">
            <w:pPr>
              <w:spacing w:before="120" w:after="120"/>
            </w:pPr>
          </w:p>
          <w:p w:rsidR="009742F2" w:rsidRDefault="007E3F56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9742F2" w:rsidRDefault="007E3F56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9742F2" w:rsidRDefault="007E3F56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производить аудио-, видеозапись информационных материалов;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информации, которая может рассматриваться оскорбительной;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:rsidR="009742F2" w:rsidRDefault="007E3F56">
            <w:pPr>
              <w:pStyle w:val="a9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1" w:name="_Hlk168926348"/>
            <w:r>
              <w:t>на основании главы 26.2 Налогового кодекса Российской Федерации</w:t>
            </w:r>
            <w:bookmarkEnd w:id="1"/>
            <w:r>
              <w:t xml:space="preserve">). 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2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2"/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9742F2" w:rsidRDefault="009742F2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10" w:history="1">
              <w:r>
                <w:rPr>
                  <w:rStyle w:val="ae"/>
                </w:rPr>
                <w:t>info@optiklass.ru</w:t>
              </w:r>
            </w:hyperlink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9742F2" w:rsidRDefault="007E3F56">
            <w:pPr>
              <w:pStyle w:val="a9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t>Опти</w:t>
            </w:r>
            <w:proofErr w:type="spellEnd"/>
            <w:r>
              <w:t>-класс»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ИНН 7723446689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КПП 772601001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ОГРН 1167700056920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 40703810500000001349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 xml:space="preserve">к/с 30101810400000000555 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БИК: 044525555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 xml:space="preserve">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</w:t>
            </w:r>
            <w:proofErr w:type="spellStart"/>
            <w:r>
              <w:t>Духовской</w:t>
            </w:r>
            <w:proofErr w:type="spellEnd"/>
            <w:r>
              <w:t xml:space="preserve">, д. 17, стр. 10, </w:t>
            </w:r>
            <w:proofErr w:type="spellStart"/>
            <w:r>
              <w:t>помещ</w:t>
            </w:r>
            <w:proofErr w:type="spellEnd"/>
            <w:r>
              <w:t>. 17</w:t>
            </w:r>
          </w:p>
          <w:p w:rsidR="009742F2" w:rsidRDefault="007E3F56">
            <w:pPr>
              <w:pStyle w:val="a9"/>
              <w:spacing w:before="120" w:after="120"/>
              <w:ind w:left="565"/>
            </w:pPr>
            <w:r>
              <w:t xml:space="preserve">почтовый 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</w:t>
            </w:r>
            <w:proofErr w:type="spellStart"/>
            <w:r>
              <w:t>Духовской</w:t>
            </w:r>
            <w:proofErr w:type="spellEnd"/>
            <w:r>
              <w:t>, д. 17, стр. 10, офис 28</w:t>
            </w:r>
          </w:p>
          <w:p w:rsidR="009742F2" w:rsidRPr="00826A6E" w:rsidRDefault="007E3F56">
            <w:pPr>
              <w:pStyle w:val="a9"/>
              <w:spacing w:before="120" w:after="120"/>
              <w:ind w:left="576"/>
              <w:rPr>
                <w:lang w:val="en-US"/>
              </w:rPr>
            </w:pPr>
            <w:r w:rsidRPr="00826A6E">
              <w:rPr>
                <w:lang w:val="en-US"/>
              </w:rPr>
              <w:t xml:space="preserve">e-mail: </w:t>
            </w:r>
            <w:hyperlink r:id="rId11" w:history="1">
              <w:r w:rsidRPr="00826A6E">
                <w:rPr>
                  <w:rStyle w:val="ae"/>
                  <w:lang w:val="en-US"/>
                </w:rPr>
                <w:t>info@optiklass.ru</w:t>
              </w:r>
            </w:hyperlink>
          </w:p>
          <w:p w:rsidR="009742F2" w:rsidRPr="00826A6E" w:rsidRDefault="007E3F56">
            <w:pPr>
              <w:pStyle w:val="a9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826A6E">
              <w:rPr>
                <w:lang w:val="en-US"/>
              </w:rPr>
              <w:t>.: +7 499 938 44 32</w:t>
            </w:r>
          </w:p>
        </w:tc>
      </w:tr>
    </w:tbl>
    <w:p w:rsidR="009742F2" w:rsidRPr="00826A6E" w:rsidRDefault="009742F2">
      <w:pPr>
        <w:rPr>
          <w:lang w:val="en-US"/>
        </w:rPr>
        <w:sectPr w:rsidR="009742F2" w:rsidRPr="00826A6E">
          <w:footerReference w:type="default" r:id="rId12"/>
          <w:pgSz w:w="11906" w:h="16838"/>
          <w:pgMar w:top="1134" w:right="850" w:bottom="284" w:left="1701" w:header="708" w:footer="708" w:gutter="0"/>
          <w:cols w:space="720"/>
        </w:sectPr>
      </w:pPr>
    </w:p>
    <w:p w:rsidR="009742F2" w:rsidRDefault="007E3F56">
      <w:pPr>
        <w:jc w:val="right"/>
      </w:pPr>
      <w:r>
        <w:lastRenderedPageBreak/>
        <w:t>Приложение № 1</w:t>
      </w:r>
    </w:p>
    <w:p w:rsidR="009742F2" w:rsidRDefault="007E3F56">
      <w:pPr>
        <w:jc w:val="right"/>
      </w:pPr>
      <w:r>
        <w:t>к договору на информационно-консультационные услуги</w:t>
      </w:r>
    </w:p>
    <w:p w:rsidR="009742F2" w:rsidRDefault="009742F2">
      <w:pPr>
        <w:jc w:val="right"/>
      </w:pPr>
    </w:p>
    <w:p w:rsidR="009742F2" w:rsidRDefault="009742F2">
      <w:pPr>
        <w:jc w:val="center"/>
        <w:rPr>
          <w:b/>
        </w:rPr>
      </w:pPr>
    </w:p>
    <w:p w:rsidR="009742F2" w:rsidRDefault="009742F2">
      <w:pPr>
        <w:jc w:val="center"/>
        <w:rPr>
          <w:b/>
        </w:rPr>
      </w:pPr>
    </w:p>
    <w:p w:rsidR="009742F2" w:rsidRDefault="007E3F56">
      <w:pPr>
        <w:jc w:val="center"/>
        <w:rPr>
          <w:b/>
        </w:rPr>
      </w:pPr>
      <w:r>
        <w:rPr>
          <w:b/>
        </w:rPr>
        <w:t>АКТ ПРИЕМКИ УСЛУГ</w:t>
      </w:r>
    </w:p>
    <w:p w:rsidR="009742F2" w:rsidRDefault="007E3F56">
      <w:pPr>
        <w:jc w:val="center"/>
        <w:rPr>
          <w:b/>
        </w:rPr>
      </w:pPr>
      <w:r>
        <w:rPr>
          <w:b/>
        </w:rPr>
        <w:t>от _______</w:t>
      </w:r>
      <w:proofErr w:type="gramStart"/>
      <w:r>
        <w:rPr>
          <w:b/>
        </w:rPr>
        <w:t>_._</w:t>
      </w:r>
      <w:proofErr w:type="gramEnd"/>
      <w:r>
        <w:rPr>
          <w:b/>
        </w:rPr>
        <w:t>______._____</w:t>
      </w:r>
    </w:p>
    <w:p w:rsidR="009742F2" w:rsidRDefault="007E3F56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9742F2" w:rsidRDefault="007E3F56">
      <w:pPr>
        <w:jc w:val="center"/>
        <w:rPr>
          <w:b/>
        </w:rPr>
      </w:pPr>
      <w:r>
        <w:rPr>
          <w:b/>
        </w:rPr>
        <w:t>№ _______ от ___</w:t>
      </w:r>
      <w:proofErr w:type="gramStart"/>
      <w:r>
        <w:rPr>
          <w:b/>
        </w:rPr>
        <w:t>_._</w:t>
      </w:r>
      <w:proofErr w:type="gramEnd"/>
      <w:r>
        <w:rPr>
          <w:b/>
        </w:rPr>
        <w:t>____._____</w:t>
      </w:r>
    </w:p>
    <w:p w:rsidR="009742F2" w:rsidRDefault="009742F2">
      <w:pPr>
        <w:jc w:val="right"/>
      </w:pPr>
    </w:p>
    <w:p w:rsidR="009742F2" w:rsidRDefault="007E3F56">
      <w:pPr>
        <w:pStyle w:val="af7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</w:r>
      <w:proofErr w:type="spellStart"/>
      <w:r>
        <w:rPr>
          <w:b/>
        </w:rPr>
        <w:t>Опти</w:t>
      </w:r>
      <w:proofErr w:type="spellEnd"/>
      <w:r>
        <w:rPr>
          <w:b/>
        </w:rPr>
        <w:t>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9742F2" w:rsidRDefault="007E3F56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9742F2" w:rsidRDefault="009742F2">
      <w:pPr>
        <w:jc w:val="both"/>
      </w:pP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9742F2" w:rsidRDefault="009742F2">
      <w:pPr>
        <w:spacing w:before="120" w:after="120"/>
        <w:ind w:left="709"/>
        <w:jc w:val="both"/>
      </w:pPr>
    </w:p>
    <w:p w:rsidR="009742F2" w:rsidRDefault="007E3F56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742F2">
        <w:tc>
          <w:tcPr>
            <w:tcW w:w="4785" w:type="dxa"/>
            <w:shd w:val="clear" w:color="auto" w:fill="auto"/>
          </w:tcPr>
          <w:p w:rsidR="009742F2" w:rsidRDefault="007E3F56">
            <w:pPr>
              <w:spacing w:before="120" w:after="120"/>
              <w:jc w:val="both"/>
            </w:pPr>
            <w:r>
              <w:t>Заказчик: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9742F2" w:rsidRDefault="007E3F56">
            <w:pPr>
              <w:spacing w:before="120" w:after="120"/>
              <w:jc w:val="both"/>
            </w:pPr>
            <w:r>
              <w:t>от Исполнителя: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Директор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/>
    <w:p w:rsidR="009742F2" w:rsidRDefault="009742F2">
      <w:pPr>
        <w:spacing w:before="120" w:after="120"/>
        <w:jc w:val="both"/>
      </w:pPr>
    </w:p>
    <w:sectPr w:rsidR="009742F2">
      <w:footerReference w:type="default" r:id="rId13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FC" w:rsidRDefault="002A67FC">
      <w:r>
        <w:separator/>
      </w:r>
    </w:p>
  </w:endnote>
  <w:endnote w:type="continuationSeparator" w:id="0">
    <w:p w:rsidR="002A67FC" w:rsidRDefault="002A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F2" w:rsidRDefault="007E3F56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6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9742F2" w:rsidRDefault="009742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F2" w:rsidRDefault="007E3F56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9742F2" w:rsidRDefault="009742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FC" w:rsidRDefault="002A67FC">
      <w:r>
        <w:separator/>
      </w:r>
    </w:p>
  </w:footnote>
  <w:footnote w:type="continuationSeparator" w:id="0">
    <w:p w:rsidR="002A67FC" w:rsidRDefault="002A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383"/>
    <w:multiLevelType w:val="multilevel"/>
    <w:tmpl w:val="E1FC331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982B70"/>
    <w:multiLevelType w:val="multilevel"/>
    <w:tmpl w:val="5ABA214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5DE2112"/>
    <w:multiLevelType w:val="multilevel"/>
    <w:tmpl w:val="C0809C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2470C4"/>
    <w:multiLevelType w:val="multilevel"/>
    <w:tmpl w:val="9BDA98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F476CF5"/>
    <w:multiLevelType w:val="multilevel"/>
    <w:tmpl w:val="A0685F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2578F4"/>
    <w:multiLevelType w:val="multilevel"/>
    <w:tmpl w:val="FDF0A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7E3D3D"/>
    <w:multiLevelType w:val="multilevel"/>
    <w:tmpl w:val="137CC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B9458BF"/>
    <w:multiLevelType w:val="multilevel"/>
    <w:tmpl w:val="A2F4FCD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FC4"/>
    <w:multiLevelType w:val="multilevel"/>
    <w:tmpl w:val="4430785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9C40A80"/>
    <w:multiLevelType w:val="multilevel"/>
    <w:tmpl w:val="F9D629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861ED0"/>
    <w:multiLevelType w:val="multilevel"/>
    <w:tmpl w:val="7CE839E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62C566E8"/>
    <w:multiLevelType w:val="multilevel"/>
    <w:tmpl w:val="2C66C3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6A16CDD"/>
    <w:multiLevelType w:val="multilevel"/>
    <w:tmpl w:val="5F3032BC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5CB"/>
    <w:multiLevelType w:val="multilevel"/>
    <w:tmpl w:val="D81094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8880523"/>
    <w:multiLevelType w:val="multilevel"/>
    <w:tmpl w:val="84B6A1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0542AB"/>
    <w:multiLevelType w:val="multilevel"/>
    <w:tmpl w:val="C3A04BC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F2"/>
    <w:rsid w:val="002A67FC"/>
    <w:rsid w:val="00417780"/>
    <w:rsid w:val="007E3F56"/>
    <w:rsid w:val="00826A6E"/>
    <w:rsid w:val="0088750B"/>
    <w:rsid w:val="009742F2"/>
    <w:rsid w:val="00E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4539"/>
  <w15:docId w15:val="{61659D9F-2808-438F-B1F4-8E2B8B4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Знак примечания1"/>
    <w:link w:val="ab"/>
    <w:rPr>
      <w:sz w:val="16"/>
    </w:rPr>
  </w:style>
  <w:style w:type="character" w:styleId="ab">
    <w:name w:val="annotation reference"/>
    <w:link w:val="12"/>
    <w:rPr>
      <w:sz w:val="16"/>
    </w:rPr>
  </w:style>
  <w:style w:type="paragraph" w:styleId="31">
    <w:name w:val="Body Text Indent 3"/>
    <w:basedOn w:val="a"/>
    <w:link w:val="32"/>
    <w:pPr>
      <w:ind w:left="426" w:hanging="426"/>
      <w:jc w:val="both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customStyle="1" w:styleId="13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link w:val="af0"/>
    <w:semiHidden/>
    <w:unhideWhenUsed/>
    <w:rPr>
      <w:sz w:val="24"/>
    </w:rPr>
  </w:style>
  <w:style w:type="character" w:customStyle="1" w:styleId="af0">
    <w:link w:val="af"/>
    <w:semiHidden/>
    <w:unhideWhenUsed/>
    <w:rPr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ashtag">
    <w:name w:val="Hashtag"/>
    <w:link w:val="Hashtag0"/>
    <w:rPr>
      <w:color w:val="605E5C"/>
      <w:shd w:val="clear" w:color="auto" w:fill="E1DFDD"/>
    </w:rPr>
  </w:style>
  <w:style w:type="character" w:customStyle="1" w:styleId="Hashtag0">
    <w:name w:val="Hashtag"/>
    <w:link w:val="Hashtag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kl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tikl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ti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klass.ru/programmy-obucheniya/dlya-vrachej-optometristov/view/productdetails/virtuemart_product_id/209/virtuemart_category_id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7D5F-01EF-4D87-9603-730952C4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2024-10-14T21:22:00Z</dcterms:created>
  <dcterms:modified xsi:type="dcterms:W3CDTF">2024-10-14T21:27:00Z</dcterms:modified>
</cp:coreProperties>
</file>